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59" w:rsidRDefault="00F00B59" w:rsidP="00F00B59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Z</w:t>
      </w:r>
      <w:r w:rsidRPr="00234B07">
        <w:rPr>
          <w:rFonts w:ascii="Times New Roman" w:hAnsi="Times New Roman"/>
          <w:sz w:val="22"/>
          <w:szCs w:val="22"/>
        </w:rPr>
        <w:t xml:space="preserve">ałącznik </w:t>
      </w:r>
      <w:r>
        <w:rPr>
          <w:rFonts w:ascii="Times New Roman" w:hAnsi="Times New Roman"/>
          <w:sz w:val="22"/>
          <w:szCs w:val="22"/>
        </w:rPr>
        <w:t>B.29.</w:t>
      </w:r>
    </w:p>
    <w:p w:rsidR="00F00B59" w:rsidRPr="00F00B59" w:rsidRDefault="00F00B59" w:rsidP="00F00B59">
      <w:pPr>
        <w:rPr>
          <w:rFonts w:ascii="Times New Roman" w:hAnsi="Times New Roman"/>
          <w:sz w:val="22"/>
          <w:szCs w:val="22"/>
        </w:rPr>
      </w:pPr>
    </w:p>
    <w:p w:rsidR="006B607C" w:rsidRPr="00C85C84" w:rsidRDefault="006B607C" w:rsidP="00F00B59">
      <w:pPr>
        <w:spacing w:after="240"/>
        <w:rPr>
          <w:rFonts w:cs="Arial"/>
          <w:b/>
        </w:rPr>
      </w:pPr>
      <w:r w:rsidRPr="00F00B59">
        <w:rPr>
          <w:rFonts w:ascii="Times New Roman" w:hAnsi="Times New Roman"/>
          <w:b/>
          <w:sz w:val="28"/>
          <w:szCs w:val="28"/>
        </w:rPr>
        <w:t>LECZENIE STWA</w:t>
      </w:r>
      <w:r w:rsidR="00F00B59">
        <w:rPr>
          <w:rFonts w:ascii="Times New Roman" w:hAnsi="Times New Roman"/>
          <w:b/>
          <w:sz w:val="28"/>
          <w:szCs w:val="28"/>
        </w:rPr>
        <w:t xml:space="preserve">RDNIENIA ROZSIANEGO  (ICD-10 </w:t>
      </w:r>
      <w:r w:rsidR="00F00B59" w:rsidRPr="00F00B59">
        <w:rPr>
          <w:rFonts w:ascii="Times New Roman" w:hAnsi="Times New Roman"/>
          <w:b/>
          <w:sz w:val="28"/>
          <w:szCs w:val="28"/>
        </w:rPr>
        <w:t>G</w:t>
      </w:r>
      <w:r w:rsidRPr="00F00B59">
        <w:rPr>
          <w:rFonts w:ascii="Times New Roman" w:hAnsi="Times New Roman"/>
          <w:b/>
          <w:sz w:val="28"/>
          <w:szCs w:val="28"/>
        </w:rPr>
        <w:t xml:space="preserve"> 35)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7"/>
        <w:gridCol w:w="4776"/>
        <w:gridCol w:w="5275"/>
      </w:tblGrid>
      <w:tr w:rsidR="006B607C" w:rsidRPr="00F00B59" w:rsidTr="00CE59E9">
        <w:trPr>
          <w:trHeight w:val="397"/>
        </w:trPr>
        <w:tc>
          <w:tcPr>
            <w:tcW w:w="5000" w:type="pct"/>
            <w:gridSpan w:val="3"/>
            <w:vAlign w:val="center"/>
          </w:tcPr>
          <w:p w:rsidR="006B607C" w:rsidRPr="00F00B59" w:rsidRDefault="006B607C" w:rsidP="00CE59E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>ZAKRES ŚWIADCZENIA GWARANTOWANEGO</w:t>
            </w:r>
          </w:p>
        </w:tc>
      </w:tr>
      <w:tr w:rsidR="006B607C" w:rsidRPr="00F00B59" w:rsidTr="00CE59E9">
        <w:tc>
          <w:tcPr>
            <w:tcW w:w="1734" w:type="pct"/>
            <w:vAlign w:val="center"/>
          </w:tcPr>
          <w:p w:rsidR="006B607C" w:rsidRPr="00F00B59" w:rsidRDefault="006B607C" w:rsidP="00CE59E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>ŚWIADCZENIOBIORCY</w:t>
            </w:r>
          </w:p>
        </w:tc>
        <w:tc>
          <w:tcPr>
            <w:tcW w:w="1552" w:type="pct"/>
            <w:vAlign w:val="center"/>
          </w:tcPr>
          <w:p w:rsidR="006B607C" w:rsidRPr="00F00B59" w:rsidRDefault="006B607C" w:rsidP="00CE59E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 xml:space="preserve">SCHEMAT DAWKOWANIA LEKÓW </w:t>
            </w:r>
            <w:r w:rsidRPr="00F00B59">
              <w:rPr>
                <w:rFonts w:ascii="Times New Roman" w:hAnsi="Times New Roman"/>
                <w:b/>
              </w:rPr>
              <w:br/>
              <w:t>W PROGRAMIE</w:t>
            </w:r>
          </w:p>
        </w:tc>
        <w:tc>
          <w:tcPr>
            <w:tcW w:w="1714" w:type="pct"/>
            <w:tcBorders>
              <w:right w:val="single" w:sz="4" w:space="0" w:color="auto"/>
            </w:tcBorders>
            <w:vAlign w:val="center"/>
          </w:tcPr>
          <w:p w:rsidR="006B607C" w:rsidRPr="00F00B59" w:rsidRDefault="006B607C" w:rsidP="00CE59E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>BADANIA DIAGNOSTYCZNE WYKONYWANE W  RAMACH PROGRAMU</w:t>
            </w:r>
          </w:p>
        </w:tc>
      </w:tr>
      <w:tr w:rsidR="006B607C" w:rsidRPr="00F00B59" w:rsidTr="00CE59E9">
        <w:tc>
          <w:tcPr>
            <w:tcW w:w="1734" w:type="pct"/>
          </w:tcPr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 xml:space="preserve">1. Kryteria kwalifikacji: </w:t>
            </w: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Leczenie interferonem beta: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rozpoznanie postaci rzutowej stwardnienia rozsianego – oparte na kryteriach diagnostycznych McDonalda (2010), łącznie z badaniami rezonansem magnetycznym, przed  i po podaniu  kontrastu;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rozpoznania postaci rzutowej stwardnienia rozsianego, wystąpienie minimum 1 rzutu klinicznego albo co najmniej 1 nowe ognisko GD+ w okresie 12 miesięcy przed kwalifikacją;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co najmniej 10  punktów według punktowego systemu kwalifikacji określonego w ust. 3;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pisemna deklaracja współpracy przy realizacji programu ze strony pielęgniarki.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Kryteria kwalifikacji muszą być spełnione łącznie.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Leczenie octanem glatirameru: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rozpoznanie postaci rzutowej stwardnienia rozsianego – oparte na kryteriach diagnostycznych McDonalda (2010), łącznie z badaniami rezonansem magnetycznym, przed  i po podaniu kontrastu;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sz w:val="20"/>
                <w:szCs w:val="20"/>
              </w:rPr>
              <w:t xml:space="preserve">w przypadku rozpoznania postaci rzutowej stwardnienia rozsianego, wystąpienie minimum 1 rzutu klinicznego albo co najmniej 1 nowe ognisko GD+ w okresie 12 miesięcy </w:t>
            </w:r>
            <w:r w:rsidRPr="00F00B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 kwalifikacją;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co najmniej 10  punktów według punktowego systemu kwalifikacji określonego w ust. 3;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pisemna deklaracja współpracy przy realizacji programu ze strony pielęgniarki.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Kryteria kwalifikacji muszą być spełnione łącznie.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 Leczenie fumaranem dimetylu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wiek od 18 roku życia;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rozpoznanie postaci rzutowej stwardnienia rozsianego – oparte na kryteriach diagnostycznych McDonalda(2010), łącznie z badaniami rezonansem magnetycznym, przed  i po podaniu kontrastu;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sz w:val="20"/>
                <w:szCs w:val="20"/>
              </w:rPr>
              <w:t>w przypadku rozpoznania postaci rzutowej stwardnienia rozsianego, wystąpienie minimum 1 rzutu klinicznego albo co najmniej 1 nowe ognisko GD+ w okresie 12 miesięcy przed kwalifikacją;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co najmniej 10  punktów według punktowego systemu kwalifikacji określonego w ust. 3;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pisemna deklaracja współpracy przy realizacji programu ze strony pielęgniarki.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Kryteria kwalifikacji muszą być spełnione łącznie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Leczenie peginterferonem beta-1a: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wiek od 18 roku życia;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rozpoznanie postaci rzutowej stwardnienia rozsianego – oparte na kryteriach diagnostycznych McDonalda (2010), łącznie z badaniami rezonansem magnetycznym, przed  i po podaniu  kontrastu;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przypadku rozpoznania postaci rzutowej stwardnienia rozsianego, wystąpienie minimum 1 rzutu klinicznego albo co najmniej 1 nowe ognisko GD+ w okresie 12 miesięcy przed kwalifikacją;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uzyskanie co najmniej 10  punktów według punktowego systemu kwalifikacji określonego w ust. 3;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pisemna deklaracja współpracy przy realizacji programu ze strony pielęgniarki.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Kryteria kwalifikacji muszą być spełnione łącznie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Dopuszcza się zamiany leków pierwszej linii w  przypadku wystąpienia objawów niepożądanych lub częściowej nieskuteczności terapii definiowanej jako wystąpienie jednego z kryteriów wymienionych w punkcie 5.1.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programu włączane są, bez konieczności ponownej kwalifikacji, pacjentki wyłączone z programu w związku z ciążą, które w momencie wyłączenia spełniały pozostałe kryteria przedłużenia leczenia.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  Kryteria uniemożliwiające włączenie do programu: 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Przeciwwskazaniem do stosowania interferonów beta jest wystąpienie</w:t>
            </w: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jednego z poniższych przeciwwskazań: 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nadwrażliwość na interferon beta;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pierwotnie lub wtórnie postępująca postać choroby; 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zdekompensowana niewydolność wątroby (enzymy wątrobowe 2 razy lub więcej powyżej normy);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zaburzenia czynności tarczycy (bez eutyreozy);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depresja nie poddająca się leczeniu;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próby samobójcze;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padaczka z wyłączeniem napadów, które u dzieci i  młodzieży wystąpiły w czasie rzutu stwardnienia rozsianego;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leukopenia poniżej 3000/µl;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istotna klinicznie niedokrwistość;</w:t>
            </w:r>
          </w:p>
          <w:p w:rsidR="006B607C" w:rsidRPr="00F00B59" w:rsidRDefault="006B607C" w:rsidP="006B607C">
            <w:pPr>
              <w:pStyle w:val="Default"/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ciąża;</w:t>
            </w:r>
          </w:p>
          <w:p w:rsidR="006B607C" w:rsidRPr="00F00B59" w:rsidRDefault="006B607C" w:rsidP="006B607C">
            <w:pPr>
              <w:numPr>
                <w:ilvl w:val="1"/>
                <w:numId w:val="1"/>
              </w:numPr>
              <w:spacing w:line="276" w:lineRule="auto"/>
              <w:ind w:left="360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inne przeciwwskazania wymienione w Charakterystyce Produktu Leczniczego.</w:t>
            </w:r>
          </w:p>
          <w:p w:rsidR="006B607C" w:rsidRPr="00F00B59" w:rsidRDefault="006B607C" w:rsidP="00CE59E9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  <w:b/>
              </w:rPr>
              <w:t>2.2.</w:t>
            </w:r>
            <w:r w:rsidRPr="00F00B59">
              <w:rPr>
                <w:rFonts w:ascii="Times New Roman" w:hAnsi="Times New Roman"/>
              </w:rPr>
              <w:t xml:space="preserve"> Przeciwwskazaniem do stosowania octanu glatirameru jest wystąpienie przynajmniej jednego z poniższych przeciwskazań: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nadwrażliwość na octan glatirameru lub mannitol;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pierwotnie lub wtórnie postępująca postać choroby;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ciąża;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inne przeciwwskazania wymienione w Charakterystyce Produktu Leczniczego.</w:t>
            </w:r>
          </w:p>
          <w:p w:rsidR="006B607C" w:rsidRPr="00F00B59" w:rsidRDefault="006B607C" w:rsidP="00CE59E9">
            <w:pPr>
              <w:spacing w:line="276" w:lineRule="auto"/>
              <w:ind w:left="709" w:hanging="425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2. 3.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Przeciwwskazaniem do stosowania fumaranu dimetylu jest wystąpienie przynajmniej jednego z poniższych przeciwskazań: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567" w:hanging="28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pierwotne przeciwwskazania dla stosowania fumaranu dimetylu (wystąpienie przynajmniej jednego z poniższych przeciwwskazań):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709" w:hanging="4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a) nadwrażliwość na fumaran dimetylu,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709" w:hanging="4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b) współtowarzysząca inna postać choroby;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709" w:hanging="4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 ciąża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pierwotnie lub wtórnie postępująca postać choroby;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sz w:val="20"/>
                <w:szCs w:val="20"/>
              </w:rPr>
              <w:t xml:space="preserve"> inne przeciwwskazania wymienione w Charakterystyce Produktu Leczniczego.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64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spacing w:line="276" w:lineRule="auto"/>
              <w:ind w:left="709" w:hanging="425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  <w:b/>
              </w:rPr>
              <w:t>2.4</w:t>
            </w:r>
            <w:r w:rsidRPr="00F00B59">
              <w:rPr>
                <w:rFonts w:ascii="Times New Roman" w:hAnsi="Times New Roman"/>
              </w:rPr>
              <w:t xml:space="preserve">  Przeciwwskazaniem do stosowania peginterferonu beta -1a jest wystąpienie przynajmniej jednego z poniższych przeciwskazań: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 xml:space="preserve">nadwrażliwość na naturalny lub rekombinowany interferon beta, lub peginterferon, 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rozpoczęcie leczenia u kobiet w ciąży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 xml:space="preserve">aktualnie ciężkie zaburzenia depresyjne i (lub) myśli </w:t>
            </w:r>
            <w:r w:rsidRPr="00F00B59">
              <w:rPr>
                <w:rFonts w:ascii="Times New Roman" w:hAnsi="Times New Roman"/>
              </w:rPr>
              <w:lastRenderedPageBreak/>
              <w:t>samobójcze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przeciwwskazania wymienione w Charakterystyce Produktu Leczniczego.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pierwotnie lub wtórnie postępująca postać choroby</w:t>
            </w:r>
          </w:p>
          <w:p w:rsidR="006B607C" w:rsidRPr="00F00B59" w:rsidRDefault="006B607C" w:rsidP="00CE59E9">
            <w:pPr>
              <w:spacing w:line="276" w:lineRule="auto"/>
              <w:ind w:left="709" w:hanging="425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 Punktowy system kwalifikacji do leczenia stwardnienia rozsianego interferonem beta, peginterferonem beta-1a,</w:t>
            </w:r>
            <w:r w:rsidRPr="00F00B59" w:rsidDel="007566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octanem glatirameru i fumaranem dimetylu: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czas trwania choroby: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0 do 3 lat - 6 pkt.,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3 do 6 lat - 4 pkt.,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powyżej 6 lat - 2 pkt.;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 xml:space="preserve">liczba rzutów choroby w ostatnim roku: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i więcej - 5 pkt.,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1 do 2 - 4 pkt.,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 rzutów w trakcie leczenia immunomodulacyjnego (w ostatnim roku) - 3 pkt.,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 rzutów</w:t>
            </w:r>
            <w:r w:rsidRPr="00F00B59" w:rsidDel="00FE2F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- 1 pkt;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stan neurologiczny w okresie międzyrzutowym (przy  rozpoczynaniu leczenia):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EDSS od 0 do 2 - 6 pkt.,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EDSS od 2,5 do 4 - 5 pkt.,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EDSS od 4,5 do 5 - 2 pkt.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 Kryteria wyłączenia: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4.1. Leczenie interferonem beta: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nadwrażliwość na interferon beta - ostre reakcje nadwrażliwości (wstrząs anafilaktyczny, skurcz oskrzeli, pokrzywka);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przejście w postać wtórnie postępującą- pogorszenie w skali EDSS o 1 pkt w ciągu 12 miesięcy nie związane z aktywnością rzutową;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stan kliniczny chorego oceniany w trakcie badania 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kontrolnego w skali EDSS powyżej 4,5 (w trakcie remisji);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ciąża;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zdekompensowana niewydolność wątroby (enzymy wątrobowe 5 razy lub więcej powyżej normy potwierdzone badaniem kontrolnym i utrzymujące się pomimo modyfikacji leczenia);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zaburzenia czynności tarczycy (bez eutyreozy);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istotne klinicznie zmiany skórne;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zmiana parametrów krwi w następującym zakresie: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stężenie hemoglobiny poniżej 9 g/dl,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leukopenia poniżej 3000/µl,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limfopenia poniżej 1000/µl,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trombocytopenia poniżej 75000/µl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potwierdzone badaniem kontrolnym i utrzymujące się pomimo modyfikacji leczenia;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depresja niepoddająca się leczeniu;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padaczka, z wyłączeniem napadów występujących u  dzieci i młodzieży jako objaw rzutu stwardnienia rozsianego;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pojawienie się innych przeciwwskazań wymienionych w Charakterystyce Produktu Leczniczego.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4.2.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Leczenie octanem glatirameru: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nadwrażliwość na octan glatirameru lub mannitol;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przejście w postać wtórnie postępującą - pogorszenie w  skali EDSS o 1 pkt w ciągu 12 miesięcy nie związane z aktywnością rzutową;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 kliniczny chorego oceniany w trakcie badania kontrolnego w skali EDSS powyżej 4,5 (w trakcie remisji);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istotne klinicznie zmiany skórne;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ciąża;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pojawienie się innych przeciwwskazań wymienionych w Charakterystyce Produktu Leczniczego.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4.3 Leczenie fumaranem dimetylu: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nadwrażliwość na fumaran dimetylu lub substancje pomocnicze;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przejście w postać wtórnie postępującą- pogorszenie w skali EDSS o 1 pkt w ciągu 12 miesięcy nie związane z aktywnością rzutową;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 kliniczny chorego oceniany w trakcie badania kontrolnego w skali EDSS powyżej 4,5 (w trakcie remisji);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współtowarzysząca inna postać choroby;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obciążenie innymi schorzeniami, które mogą zmniejszyć skuteczność leczenia;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ciąża.</w:t>
            </w:r>
          </w:p>
          <w:p w:rsidR="00D612CA" w:rsidRPr="00F00B59" w:rsidRDefault="00D612CA" w:rsidP="00D612CA">
            <w:pPr>
              <w:pStyle w:val="Default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pojawienie się innych przeciwwskazań wymienionych w Charakterystyce Produktu Leczniczego.</w:t>
            </w:r>
          </w:p>
          <w:p w:rsidR="00D612CA" w:rsidRPr="00F00B59" w:rsidRDefault="00D612CA" w:rsidP="00D612C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4.4 Leczenie peginterferonem beta-1a: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 nadwrażliwość na naturalny lub rekombinowany interferon beta lub peginterferon albo na którąkolwiek substancję pomocniczą;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2) przejście w postać wtórnie postępującą- pogorszenie w skali EDSS o 1 pkt w ciągu 12 miesięcy nie związane z aktywnością rzutową;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 stan kliniczny chorego oceniany w trakcie badania kontrolnego w skali EDSS powyżej 4,5 (w trakcie remisji);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5) ciąża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6) aktualnie ciężkie zaburzenia depresyjne i (lub) myśli samobójcze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284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7) pojawienie się </w:t>
            </w:r>
            <w:r w:rsidR="00EF0C44"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innych 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przeciwwskazań wymienionych w Charakterystyce Produktu Leczniczego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5. Określenie czasu leczenia w programie: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5.1.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 12 miesiącach trwania leczenia dokonuje się oceny 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skuteczności leczenia.  Za brak skuteczności wymagający zmiany leczenia przyjmuje się wystąpienie obu poniższych sytuacji: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liczba i ciężkość rzutów: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lub więcej rzutów  umiarkowanych (wzrost EDSS o 1 do 2 pkt. w zakresie jednego lub dwóch układów funkcjonalnych lub o 1 pkt w czterech lub większej liczbie układów funkcjonalnych) lub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ciężki rzut po pierwszych 6 miesiącach (wzrost w  EDSS większy niż w definicji rzutu umiarkowanego tj. powyżej 2 pkt.)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zmiany w badaniu rezonansu magnetycznego, gdy stwierdza się jedno z poniższych: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więcej niż jedna nowa zmiana Gd (+),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więcej niż dwie nowe zmiany w sekwencji T2.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5.2. Kryteria kontynuacji leczenia: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terapia interferonem beta, peginterferonem beta-1a,</w:t>
            </w:r>
            <w:r w:rsidRPr="00F00B59" w:rsidDel="007566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octanem glatirameru lub fumaranem dimetylu może być przedłużona o każde kolejne 12 miesięcy u  pacjentów niespełniających kryteriów wyłączenia zgodnie z pkt. 4 i kryteriów nieskuteczności pkt. 5.1;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leczenie powinno być stosowane tak długo jak osiągana jest skuteczność kliniczna oraz nie wystąpią kryteria wyłączenia;</w:t>
            </w:r>
          </w:p>
          <w:p w:rsidR="006B607C" w:rsidRPr="00F00B59" w:rsidRDefault="006B607C" w:rsidP="006B607C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</w:rPr>
              <w:t>po ukończeniu 18 r.ż. nie ma konieczności ponownej kwalifikacji pacjenta do programu po przeniesieniu leczenia do ośrodka dla dorosłych.</w:t>
            </w:r>
          </w:p>
        </w:tc>
        <w:tc>
          <w:tcPr>
            <w:tcW w:w="1552" w:type="pct"/>
          </w:tcPr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1. Dawkowanie interferonu beta: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Dawkowanie u osób dorosłych: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Dawka należna wynosi w przypadku: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interferonu beta-1a -30 µg domięśniowo w  zależności od tolerancji 1 raz w tygodniu;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interferonu beta-1a – 44 µg podskórnie w zależności od tolerancji 3 razy w tygodniu;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interferonu beta-1b - 250 µg  podskórnie co drugi dzień.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Dawkowanie zależy od Charakterystyki Produktu Leczniczego.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Dawkowanie u dzieci i młodzieży: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 dzieci i młodzieży o ciężarze  ciała poniżej 30 kg leczenie należy rozpocząć od 1/4 dawki należnej dla osoby dorosłej; dawkę należną dla dzieci i młodzieży o ciężarze  ciała poniżej 30 kg (1/2 dawki należnej dla osoby dorosłej) należy osiągnąć po miesiącu leczenia;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  dzieci i młodzieży o ciężarze ciała powyżej 30 kg leczenie należy rozpocząć od 1/2 dawki należnej dla osoby dorosłej; dawkę należną równą dawce dla osoby dorosłej należy osiągnąć po miesiącu leczenia.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 Dawkowanie octanu glatirameru: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2.1. Dla dawki 20 mg u dzieci i młodzieży oraz u osób dorosłych, zalecane dawkowanie wynosi 20 mg octanu glatirameru we wstrzyknięciu podskórnym, raz na dobę.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2.2. Dla dawki 40 mg u dorosłych zalecane dawkowanie wynosi 40 mg octanu glatirameru we wstrzyknięciu podskórnym trzy razy w tygodniu w odstępach co najmniej 48 godzin.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3. Dawkowanie fumaranu dimetylu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3.1. Dawka początkowa wynosi 120 mg dwa razy dziennie. Po 7 dniach dawkę należy zwiększyć do dawki zalecanej, czyli 240 mg dwa razy dziennie. Jest możliwe tymczasowe zmniejszenie dawki do 120 mg dwa razy dziennie w celu ograniczenia  występowania działań niepożądanych. Po upływie miesiąca należy wznowić stosowanie dawki zalecanej, czyli 240 mg dwa razy dziennie.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 Dawkowanie peginterferonu beta-1a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Zalecana dawka produktu Plegridy wynosi 125 mikrogramów we wstrzyknięciu podskórnym, co 2 tygodnie (14 dni).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Zwykle zaleca się rozpoczęcie leczenia od 63 mikrogramów w pierwszej dawce (dzień 0), zwiększenie dawki do 94 mikrogramów w drugiej dawce (dzień 14.) i osiągnięcie pełnej dawki 125 mikrogramów w trzeciej dawce (dzień 28.). Pełną  dawkę (125 mikrogramów) podaje się następnie co 2 tygodnie (14 dni).</w:t>
            </w:r>
          </w:p>
        </w:tc>
        <w:tc>
          <w:tcPr>
            <w:tcW w:w="1714" w:type="pct"/>
            <w:tcBorders>
              <w:right w:val="single" w:sz="4" w:space="0" w:color="auto"/>
            </w:tcBorders>
          </w:tcPr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lastRenderedPageBreak/>
              <w:t>1. Badania przy kwalifikacji: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biochemiczne w tym oceniające: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funkcje nerek,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funkcje wątroby,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9"/>
              </w:numPr>
              <w:spacing w:line="276" w:lineRule="auto"/>
              <w:ind w:left="714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funkcje tarczycy;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badanie ogólne moczu;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morfologia krwi z rozmazem;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rezonans magnetyczny przed  i po podaniu  kontrastu; rezonans magnetyczny wykonuje się w okresie kwalifikacji do programu. Jeżeli leczenie nie zostanie rozpoczęte w okresie 60 dni od jego wykonania to badanie powtarza się tuż przed zastosowaniem pierwszej dawki leku;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wzrokowe potencjały wywołane (WPW), jeśli wymagane podczas ustalania rozpoznania;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przypadkach wątpliwych diagnostycznie wskazane badanie białka oligoklonalnego IgG w płynie mózgowo-rdzeniowym. 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>2. Monitorowanie leczenia: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sz w:val="20"/>
                <w:szCs w:val="20"/>
              </w:rPr>
              <w:t xml:space="preserve">2.1 Monitorowanie leczenia interferonem beta lub octanem glatirameru: 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laboratoryjne, o których mowa w ust. 1 wykonywane są: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 dorosłych: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przez pierwsze 6 miesięcy leczenia - co 3 </w:t>
            </w: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miesiące, 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następnie co 6 miesięcy, z wyjątkiem morfologii i parametrów wątrobowych, które wykonywane są co 3 miesiące,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 dzieci i młodzieży: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przez pierwsze 3 miesiące – co miesiąc,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następnie co 3 miesiące;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rezonans magnetyczny przed  i po podaniu  kontrastu – po każdych 12 miesiącach leczenia;</w:t>
            </w:r>
          </w:p>
          <w:p w:rsidR="006B607C" w:rsidRPr="00F00B59" w:rsidRDefault="006B607C" w:rsidP="006B607C">
            <w:pPr>
              <w:pStyle w:val="Defaul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badania oceniające skuteczność leczenia i  umożliwiające kontynuacje leczenia w programie wykonuje się każdorazowo po 12 miesiącach leczenia.</w:t>
            </w: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>2.2. Monitorowanie leczenia fumaranem dimetylu:</w:t>
            </w:r>
          </w:p>
          <w:p w:rsidR="006B607C" w:rsidRPr="00F00B59" w:rsidRDefault="006B607C" w:rsidP="006B607C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badania biochemiczne oceniające:</w:t>
            </w:r>
          </w:p>
          <w:p w:rsidR="006B607C" w:rsidRPr="00F00B59" w:rsidRDefault="006B607C" w:rsidP="00CE59E9">
            <w:pPr>
              <w:spacing w:line="276" w:lineRule="auto"/>
              <w:ind w:left="578" w:hanging="142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 xml:space="preserve">a) funkcje nerek i wątroby - po 3 i 6 miesiącach leczenia, następnie co 6 do 12 miesięcy oraz według wskazań klinicznych, </w:t>
            </w:r>
          </w:p>
          <w:p w:rsidR="006B607C" w:rsidRPr="00F00B59" w:rsidRDefault="006B607C" w:rsidP="00CE59E9">
            <w:pPr>
              <w:spacing w:line="276" w:lineRule="auto"/>
              <w:ind w:left="578" w:hanging="142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b) morfologię krwi z rozmazem- co 3 miesiące leczenia</w:t>
            </w:r>
          </w:p>
          <w:p w:rsidR="006B607C" w:rsidRPr="00F00B59" w:rsidRDefault="006B607C" w:rsidP="00CE59E9">
            <w:pPr>
              <w:spacing w:line="276" w:lineRule="auto"/>
              <w:ind w:left="578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U pacjentów, u których liczba limfocytów będzie utrzymywała się na poziomie poniżej 500/ µl  przez ponad 6 miesięcy, należy ponownie rozważyć bilans korzyści i ryzyka w tym wziąć pod uwagę przerwanie leczenia.</w:t>
            </w:r>
          </w:p>
          <w:p w:rsidR="006B607C" w:rsidRPr="00F00B59" w:rsidRDefault="006B607C" w:rsidP="006B607C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rezonans magnetyczny przed i po podaniu  kontrastu – po każdych 12 miesiącach leczenia;</w:t>
            </w:r>
          </w:p>
          <w:p w:rsidR="006B607C" w:rsidRPr="00F00B59" w:rsidRDefault="006B607C" w:rsidP="006B607C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badania oceniające skuteczność leczenia i umożliwiające kontynuacje leczenia w programie wykonuje się każdorazowo po 12 miesiącach leczenia</w:t>
            </w: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>2.3 Monitorowanie leczenia peginterferonem  beta-1a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436" w:hanging="4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 badania laboratoryjne, o których mowa w ust. 1 wykonywane są: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4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- przez pierwsze 6 miesięcy leczenia - co 3 miesiące, </w:t>
            </w:r>
          </w:p>
          <w:p w:rsidR="006B607C" w:rsidRPr="00F00B59" w:rsidRDefault="006B607C" w:rsidP="00CE59E9">
            <w:pPr>
              <w:spacing w:line="276" w:lineRule="auto"/>
              <w:ind w:left="436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- następnie co 6 miesięcy, z wyjątkiem morfologii i parametrów wątrobowych, które wykonywane są co 3 miesiące</w:t>
            </w:r>
          </w:p>
          <w:p w:rsidR="006B607C" w:rsidRPr="00F00B59" w:rsidRDefault="006B607C" w:rsidP="00CE59E9">
            <w:pPr>
              <w:pStyle w:val="Default"/>
              <w:spacing w:line="276" w:lineRule="auto"/>
              <w:ind w:left="436" w:hanging="4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0B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 rezonans magnetyczny przed  i po podaniu  kontrastu – po każdych 12 miesiącach leczenia;</w:t>
            </w:r>
          </w:p>
          <w:p w:rsidR="006B607C" w:rsidRPr="00F00B59" w:rsidRDefault="006B607C" w:rsidP="00CE59E9">
            <w:pPr>
              <w:spacing w:line="276" w:lineRule="auto"/>
              <w:ind w:left="436" w:hanging="425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3)</w:t>
            </w:r>
            <w:r w:rsidRPr="00F00B59">
              <w:rPr>
                <w:rFonts w:ascii="Times New Roman" w:hAnsi="Times New Roman"/>
                <w:b/>
              </w:rPr>
              <w:t xml:space="preserve"> </w:t>
            </w:r>
            <w:r w:rsidRPr="00F00B59">
              <w:rPr>
                <w:rFonts w:ascii="Times New Roman" w:hAnsi="Times New Roman"/>
              </w:rPr>
              <w:t>badania oceniające skuteczność leczenia i umożliwiające kontynuacje leczenia w programie wykonuje się każdorazowo po 12 miesiącach leczenia</w:t>
            </w: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F00B59">
              <w:rPr>
                <w:rFonts w:ascii="Times New Roman" w:hAnsi="Times New Roman"/>
                <w:b/>
              </w:rPr>
              <w:t>3. Monitorowanie programu:</w:t>
            </w:r>
          </w:p>
          <w:p w:rsidR="006B607C" w:rsidRPr="00F00B59" w:rsidRDefault="006B607C" w:rsidP="006B607C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gromadzenie w dokumentacji medycznej pacjenta danych dotyczących monitorowania leczenia i  każdorazowe ich przedstawianie na żądanie kontrolerów  Narodowego Funduszu Zdrowia;</w:t>
            </w:r>
          </w:p>
          <w:p w:rsidR="006B607C" w:rsidRPr="00F00B59" w:rsidRDefault="006B607C" w:rsidP="006B607C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6B607C" w:rsidRPr="00F00B59" w:rsidRDefault="006B607C" w:rsidP="006B607C">
            <w:pPr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/>
              </w:rPr>
            </w:pPr>
            <w:r w:rsidRPr="00F00B59">
              <w:rPr>
                <w:rFonts w:ascii="Times New Roman" w:hAnsi="Times New Roman"/>
              </w:rPr>
              <w:t>przekazywanie informacji sprawozdawczo-rozliczeniowych do NFZ: informacje przekazuje się do  NFZ w formie papierowej lub w formie elektronicznej, zgodnie z wymaganiami opublikowanymi przez Narodowy Fundusz Zdrowia.</w:t>
            </w: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</w:rPr>
            </w:pPr>
          </w:p>
          <w:p w:rsidR="006B607C" w:rsidRPr="00F00B59" w:rsidRDefault="006B607C" w:rsidP="00CE59E9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6B607C" w:rsidRPr="00F00B59" w:rsidRDefault="006B607C" w:rsidP="006B607C">
      <w:pPr>
        <w:rPr>
          <w:rFonts w:ascii="Times New Roman" w:hAnsi="Times New Roman"/>
          <w:b/>
          <w:sz w:val="28"/>
          <w:szCs w:val="28"/>
        </w:rPr>
      </w:pPr>
    </w:p>
    <w:p w:rsidR="000B4FCD" w:rsidRPr="00F00B59" w:rsidRDefault="000B4FCD">
      <w:pPr>
        <w:rPr>
          <w:rFonts w:ascii="Times New Roman" w:hAnsi="Times New Roman"/>
        </w:rPr>
      </w:pPr>
    </w:p>
    <w:sectPr w:rsidR="000B4FCD" w:rsidRPr="00F00B59" w:rsidSect="00F00B59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7EA"/>
    <w:multiLevelType w:val="hybridMultilevel"/>
    <w:tmpl w:val="4DF296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E65AB"/>
    <w:multiLevelType w:val="hybridMultilevel"/>
    <w:tmpl w:val="1B60AC70"/>
    <w:lvl w:ilvl="0" w:tplc="F176CBD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D5521"/>
    <w:multiLevelType w:val="hybridMultilevel"/>
    <w:tmpl w:val="302C76D6"/>
    <w:lvl w:ilvl="0" w:tplc="5E566C3E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E0A"/>
    <w:multiLevelType w:val="hybridMultilevel"/>
    <w:tmpl w:val="7AF0A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5A7"/>
    <w:multiLevelType w:val="hybridMultilevel"/>
    <w:tmpl w:val="357A175A"/>
    <w:lvl w:ilvl="0" w:tplc="935CCF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F41"/>
    <w:multiLevelType w:val="hybridMultilevel"/>
    <w:tmpl w:val="1B60AC70"/>
    <w:lvl w:ilvl="0" w:tplc="F176CBD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A17B1"/>
    <w:multiLevelType w:val="hybridMultilevel"/>
    <w:tmpl w:val="9FC83F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3231A"/>
    <w:multiLevelType w:val="hybridMultilevel"/>
    <w:tmpl w:val="C9263112"/>
    <w:lvl w:ilvl="0" w:tplc="C7AE12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DB3C4D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86816"/>
    <w:multiLevelType w:val="hybridMultilevel"/>
    <w:tmpl w:val="DB0025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3E7891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416E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74C24"/>
    <w:multiLevelType w:val="hybridMultilevel"/>
    <w:tmpl w:val="AE2E9E0E"/>
    <w:lvl w:ilvl="0" w:tplc="C7AE12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537A7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7907"/>
    <w:multiLevelType w:val="hybridMultilevel"/>
    <w:tmpl w:val="3BACA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05325"/>
    <w:multiLevelType w:val="hybridMultilevel"/>
    <w:tmpl w:val="7AF0ABD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A333F2A"/>
    <w:multiLevelType w:val="hybridMultilevel"/>
    <w:tmpl w:val="CFD85082"/>
    <w:lvl w:ilvl="0" w:tplc="FC76FA0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696F1C"/>
    <w:multiLevelType w:val="hybridMultilevel"/>
    <w:tmpl w:val="40A218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59031C"/>
    <w:multiLevelType w:val="hybridMultilevel"/>
    <w:tmpl w:val="A5760C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9B5778"/>
    <w:multiLevelType w:val="hybridMultilevel"/>
    <w:tmpl w:val="A5760C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B46B9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16399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3CC458A"/>
    <w:multiLevelType w:val="hybridMultilevel"/>
    <w:tmpl w:val="A5760C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6F3234"/>
    <w:multiLevelType w:val="hybridMultilevel"/>
    <w:tmpl w:val="09F8E2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B69660F"/>
    <w:multiLevelType w:val="hybridMultilevel"/>
    <w:tmpl w:val="40A218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3040C8"/>
    <w:multiLevelType w:val="hybridMultilevel"/>
    <w:tmpl w:val="4058E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003DA"/>
    <w:multiLevelType w:val="hybridMultilevel"/>
    <w:tmpl w:val="CFCA2A94"/>
    <w:lvl w:ilvl="0" w:tplc="AAA295C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696838"/>
    <w:multiLevelType w:val="hybridMultilevel"/>
    <w:tmpl w:val="08D4EE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C650CF"/>
    <w:multiLevelType w:val="hybridMultilevel"/>
    <w:tmpl w:val="E312BD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"/>
  </w:num>
  <w:num w:numId="5">
    <w:abstractNumId w:val="23"/>
  </w:num>
  <w:num w:numId="6">
    <w:abstractNumId w:val="0"/>
  </w:num>
  <w:num w:numId="7">
    <w:abstractNumId w:val="27"/>
  </w:num>
  <w:num w:numId="8">
    <w:abstractNumId w:val="24"/>
  </w:num>
  <w:num w:numId="9">
    <w:abstractNumId w:val="15"/>
  </w:num>
  <w:num w:numId="10">
    <w:abstractNumId w:val="17"/>
  </w:num>
  <w:num w:numId="11">
    <w:abstractNumId w:val="3"/>
  </w:num>
  <w:num w:numId="12">
    <w:abstractNumId w:val="2"/>
  </w:num>
  <w:num w:numId="13">
    <w:abstractNumId w:val="28"/>
  </w:num>
  <w:num w:numId="14">
    <w:abstractNumId w:val="6"/>
  </w:num>
  <w:num w:numId="15">
    <w:abstractNumId w:val="11"/>
  </w:num>
  <w:num w:numId="16">
    <w:abstractNumId w:val="20"/>
  </w:num>
  <w:num w:numId="17">
    <w:abstractNumId w:val="8"/>
  </w:num>
  <w:num w:numId="18">
    <w:abstractNumId w:val="19"/>
  </w:num>
  <w:num w:numId="19">
    <w:abstractNumId w:val="25"/>
  </w:num>
  <w:num w:numId="20">
    <w:abstractNumId w:val="22"/>
  </w:num>
  <w:num w:numId="21">
    <w:abstractNumId w:val="18"/>
  </w:num>
  <w:num w:numId="22">
    <w:abstractNumId w:val="13"/>
  </w:num>
  <w:num w:numId="23">
    <w:abstractNumId w:val="10"/>
  </w:num>
  <w:num w:numId="24">
    <w:abstractNumId w:val="16"/>
  </w:num>
  <w:num w:numId="25">
    <w:abstractNumId w:val="9"/>
  </w:num>
  <w:num w:numId="26">
    <w:abstractNumId w:val="21"/>
  </w:num>
  <w:num w:numId="27">
    <w:abstractNumId w:val="12"/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7C"/>
    <w:rsid w:val="000B4FCD"/>
    <w:rsid w:val="0065105A"/>
    <w:rsid w:val="006B607C"/>
    <w:rsid w:val="00D612CA"/>
    <w:rsid w:val="00EF0C44"/>
    <w:rsid w:val="00F0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1D38E-410A-48E0-9789-BA35B54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B607C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6B6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2141</Words>
  <Characters>12849</Characters>
  <Application>Microsoft Office Word</Application>
  <DocSecurity>0</DocSecurity>
  <Lines>107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Fac</dc:creator>
  <cp:keywords/>
  <dc:description/>
  <cp:lastModifiedBy>Magdalena Fac</cp:lastModifiedBy>
  <cp:revision>2</cp:revision>
  <dcterms:created xsi:type="dcterms:W3CDTF">2016-07-07T13:42:00Z</dcterms:created>
  <dcterms:modified xsi:type="dcterms:W3CDTF">2016-07-07T13:42:00Z</dcterms:modified>
</cp:coreProperties>
</file>